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издании</w:t>
      </w:r>
    </w:p>
    <w:p>
      <w:pPr>
        <w:pStyle w:val="0"/>
        <w:jc w:val="both"/>
      </w:pPr>
      <w:r>
        <w:rPr>
          <w:sz w:val="24"/>
        </w:rPr>
        <w:t xml:space="preserve">"Официальный бюллетень органов местного самоуправления муниципального образования город Пермь", N 45, 28.06.2019.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- 02.06.2026.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26.05.2026 N 91,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(опубликовано в "Официальном бюллетене органов местного самоуправления муниципального образования город Пермь" - 02.06.2026).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решениями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 и от 27.06.2023 </w:t>
      </w:r>
      <w:r>
        <w:rPr>
          <w:sz w:val="24"/>
        </w:rPr>
        <w:t xml:space="preserve">N 119</w:t>
      </w:r>
      <w:r>
        <w:rPr>
          <w:sz w:val="24"/>
        </w:rPr>
        <w:t xml:space="preserve">, применяются к правоотношениям, возникшим с даты внесения записи в Единый государственный реестр юридических лиц о создании муниципального казенного учреждения "Содержание объектов благоустройства".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Решение Пермской городской Думы от 25.06.2019 N 141</w:t>
      </w:r>
    </w:p>
    <w:p>
      <w:pPr>
        <w:pStyle w:val="0"/>
        <w:jc w:val="both"/>
      </w:pPr>
      <w:r>
        <w:rPr>
          <w:sz w:val="24"/>
        </w:rPr>
        <w:t xml:space="preserve">(ред. от 26.05.2026)</w:t>
      </w:r>
    </w:p>
    <w:p>
      <w:pPr>
        <w:pStyle w:val="0"/>
        <w:jc w:val="both"/>
      </w:pPr>
      <w:r>
        <w:rPr>
          <w:sz w:val="24"/>
        </w:rPr>
        <w:t xml:space="preserve">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25.06.2019 N 141
(ред. от 26.05.2026)
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dc:title>
  <cp:lastModifiedBy>novikova-es</cp:lastModifiedBy>
  <dcterms:created xsi:type="dcterms:W3CDTF">2026-07-01T09:44:25Z</dcterms:created>
</cp:coreProperties>
</file>